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88F" w:rsidRPr="00864E8F" w:rsidRDefault="0050188F" w:rsidP="0050188F">
      <w:pPr>
        <w:spacing w:after="0" w:line="240" w:lineRule="auto"/>
        <w:rPr>
          <w:rFonts w:ascii="Georgia" w:eastAsia="Times New Roman" w:hAnsi="Georgia" w:cs="Calibri"/>
          <w:b/>
          <w:i/>
          <w:sz w:val="21"/>
          <w:szCs w:val="21"/>
        </w:rPr>
      </w:pP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567"/>
        <w:gridCol w:w="1873"/>
        <w:gridCol w:w="5377"/>
        <w:gridCol w:w="5616"/>
      </w:tblGrid>
      <w:tr w:rsidR="00864E8F" w:rsidRPr="00864E8F" w:rsidTr="00864E8F">
        <w:tc>
          <w:tcPr>
            <w:tcW w:w="463" w:type="dxa"/>
            <w:vAlign w:val="center"/>
          </w:tcPr>
          <w:p w:rsidR="00864E8F" w:rsidRPr="00864E8F" w:rsidRDefault="00864E8F" w:rsidP="0050188F">
            <w:pPr>
              <w:spacing w:after="0" w:line="240" w:lineRule="auto"/>
              <w:jc w:val="center"/>
              <w:rPr>
                <w:rFonts w:ascii="Georgia" w:eastAsia="Times New Roman" w:hAnsi="Georgia" w:cs="Calibri"/>
                <w:b/>
                <w:bCs/>
                <w:sz w:val="21"/>
                <w:szCs w:val="21"/>
              </w:rPr>
            </w:pPr>
            <w:r w:rsidRPr="00864E8F">
              <w:rPr>
                <w:rFonts w:ascii="Georgia" w:eastAsia="Times New Roman" w:hAnsi="Georgia" w:cs="Calibri"/>
                <w:b/>
                <w:bCs/>
                <w:sz w:val="21"/>
                <w:szCs w:val="21"/>
              </w:rPr>
              <w:t>Lp.</w:t>
            </w:r>
          </w:p>
        </w:tc>
        <w:tc>
          <w:tcPr>
            <w:tcW w:w="1874" w:type="dxa"/>
          </w:tcPr>
          <w:p w:rsidR="00864E8F" w:rsidRPr="00864E8F" w:rsidRDefault="00864E8F" w:rsidP="00864E8F">
            <w:pPr>
              <w:spacing w:after="0" w:line="240" w:lineRule="auto"/>
              <w:jc w:val="center"/>
              <w:rPr>
                <w:rFonts w:ascii="Georgia" w:eastAsia="Times New Roman" w:hAnsi="Georgia" w:cs="Calibri"/>
                <w:b/>
                <w:bCs/>
                <w:sz w:val="21"/>
                <w:szCs w:val="21"/>
              </w:rPr>
            </w:pPr>
            <w:r w:rsidRPr="00864E8F">
              <w:rPr>
                <w:rFonts w:ascii="Georgia" w:eastAsia="Times New Roman" w:hAnsi="Georgia" w:cs="Calibri"/>
                <w:b/>
                <w:bCs/>
                <w:sz w:val="21"/>
                <w:szCs w:val="21"/>
              </w:rPr>
              <w:t>Fragment, którego dotyczy uwaga</w:t>
            </w:r>
          </w:p>
        </w:tc>
        <w:tc>
          <w:tcPr>
            <w:tcW w:w="5426" w:type="dxa"/>
          </w:tcPr>
          <w:p w:rsidR="00864E8F" w:rsidRPr="00864E8F" w:rsidRDefault="00864E8F" w:rsidP="0050188F">
            <w:pPr>
              <w:spacing w:after="0" w:line="240" w:lineRule="auto"/>
              <w:jc w:val="center"/>
              <w:rPr>
                <w:rFonts w:ascii="Georgia" w:eastAsia="Times New Roman" w:hAnsi="Georgia" w:cs="Calibri"/>
                <w:b/>
                <w:bCs/>
                <w:sz w:val="21"/>
                <w:szCs w:val="21"/>
              </w:rPr>
            </w:pPr>
            <w:r w:rsidRPr="00864E8F">
              <w:rPr>
                <w:rFonts w:ascii="Georgia" w:eastAsia="Times New Roman" w:hAnsi="Georgia" w:cs="Calibri"/>
                <w:b/>
                <w:bCs/>
                <w:sz w:val="21"/>
                <w:szCs w:val="21"/>
              </w:rPr>
              <w:t>Uwaga</w:t>
            </w:r>
          </w:p>
        </w:tc>
        <w:tc>
          <w:tcPr>
            <w:tcW w:w="5670" w:type="dxa"/>
          </w:tcPr>
          <w:p w:rsidR="00864E8F" w:rsidRPr="00864E8F" w:rsidRDefault="00864E8F" w:rsidP="00864E8F">
            <w:pPr>
              <w:spacing w:after="0" w:line="240" w:lineRule="auto"/>
              <w:jc w:val="center"/>
              <w:rPr>
                <w:rFonts w:ascii="Georgia" w:eastAsia="Times New Roman" w:hAnsi="Georgia" w:cs="Calibri"/>
                <w:b/>
                <w:bCs/>
                <w:sz w:val="21"/>
                <w:szCs w:val="21"/>
              </w:rPr>
            </w:pPr>
            <w:r w:rsidRPr="00864E8F">
              <w:rPr>
                <w:rFonts w:ascii="Georgia" w:eastAsia="Times New Roman" w:hAnsi="Georgia" w:cs="Calibri"/>
                <w:b/>
                <w:bCs/>
                <w:sz w:val="21"/>
                <w:szCs w:val="21"/>
              </w:rPr>
              <w:t xml:space="preserve">Uzasadnienie </w:t>
            </w:r>
          </w:p>
        </w:tc>
      </w:tr>
      <w:tr w:rsidR="00864E8F" w:rsidRPr="00864E8F" w:rsidTr="00864E8F">
        <w:tc>
          <w:tcPr>
            <w:tcW w:w="463" w:type="dxa"/>
            <w:vAlign w:val="center"/>
          </w:tcPr>
          <w:p w:rsidR="00864E8F" w:rsidRPr="00864E8F" w:rsidRDefault="00864E8F" w:rsidP="009930A6">
            <w:pPr>
              <w:numPr>
                <w:ilvl w:val="0"/>
                <w:numId w:val="1"/>
              </w:numPr>
              <w:tabs>
                <w:tab w:val="left" w:pos="142"/>
              </w:tabs>
              <w:spacing w:after="0" w:line="240" w:lineRule="auto"/>
              <w:ind w:left="284" w:hanging="284"/>
              <w:jc w:val="center"/>
              <w:rPr>
                <w:rFonts w:ascii="Georgia" w:eastAsia="Times New Roman" w:hAnsi="Georgia" w:cs="Calibri"/>
                <w:bCs/>
                <w:sz w:val="21"/>
                <w:szCs w:val="21"/>
              </w:rPr>
            </w:pPr>
          </w:p>
        </w:tc>
        <w:tc>
          <w:tcPr>
            <w:tcW w:w="1874" w:type="dxa"/>
            <w:tcBorders>
              <w:top w:val="single" w:sz="4" w:space="0" w:color="auto"/>
              <w:left w:val="single" w:sz="4" w:space="0" w:color="auto"/>
              <w:bottom w:val="single" w:sz="4" w:space="0" w:color="auto"/>
              <w:right w:val="single" w:sz="4" w:space="0" w:color="auto"/>
            </w:tcBorders>
          </w:tcPr>
          <w:p w:rsidR="00864E8F" w:rsidRPr="00864E8F" w:rsidRDefault="00864E8F" w:rsidP="009930A6">
            <w:pPr>
              <w:spacing w:after="0" w:line="240" w:lineRule="auto"/>
              <w:rPr>
                <w:rFonts w:ascii="Georgia" w:eastAsia="Times New Roman" w:hAnsi="Georgia" w:cs="Calibri"/>
                <w:sz w:val="21"/>
                <w:szCs w:val="21"/>
              </w:rPr>
            </w:pPr>
            <w:r w:rsidRPr="00864E8F">
              <w:rPr>
                <w:rFonts w:ascii="Georgia" w:eastAsia="Times New Roman" w:hAnsi="Georgia" w:cs="Calibri"/>
                <w:sz w:val="21"/>
                <w:szCs w:val="21"/>
              </w:rPr>
              <w:t>Str. 26, Transport miejski</w:t>
            </w:r>
          </w:p>
        </w:tc>
        <w:tc>
          <w:tcPr>
            <w:tcW w:w="5426" w:type="dxa"/>
            <w:tcBorders>
              <w:top w:val="single" w:sz="4" w:space="0" w:color="auto"/>
              <w:left w:val="single" w:sz="4" w:space="0" w:color="auto"/>
              <w:bottom w:val="single" w:sz="4" w:space="0" w:color="auto"/>
              <w:right w:val="single" w:sz="4" w:space="0" w:color="auto"/>
            </w:tcBorders>
          </w:tcPr>
          <w:p w:rsidR="00864E8F" w:rsidRPr="00864E8F" w:rsidRDefault="00864E8F" w:rsidP="0045575A">
            <w:pPr>
              <w:spacing w:after="0" w:line="240" w:lineRule="auto"/>
              <w:rPr>
                <w:rFonts w:ascii="Georgia" w:eastAsia="Times New Roman" w:hAnsi="Georgia" w:cs="Calibri"/>
                <w:sz w:val="21"/>
                <w:szCs w:val="21"/>
              </w:rPr>
            </w:pPr>
            <w:r w:rsidRPr="00864E8F">
              <w:rPr>
                <w:rFonts w:ascii="Georgia" w:eastAsia="Times New Roman" w:hAnsi="Georgia" w:cs="Calibri"/>
                <w:sz w:val="21"/>
                <w:szCs w:val="21"/>
              </w:rPr>
              <w:t>Zdanie „niewielki udział ruchu rowerowego, który wynosił ok. 1-4% podróży ogółem” nie uwzględnia znaczącego wzrostu ruchu rowerowego, zwłaszcza w niektórych dużych miastach.</w:t>
            </w:r>
          </w:p>
        </w:tc>
        <w:tc>
          <w:tcPr>
            <w:tcW w:w="5670" w:type="dxa"/>
            <w:tcBorders>
              <w:top w:val="single" w:sz="4" w:space="0" w:color="auto"/>
              <w:left w:val="single" w:sz="4" w:space="0" w:color="auto"/>
              <w:bottom w:val="single" w:sz="4" w:space="0" w:color="auto"/>
              <w:right w:val="single" w:sz="4" w:space="0" w:color="auto"/>
            </w:tcBorders>
          </w:tcPr>
          <w:p w:rsidR="00864E8F" w:rsidRPr="00864E8F" w:rsidRDefault="00864E8F" w:rsidP="009930A6">
            <w:pPr>
              <w:spacing w:after="0" w:line="240" w:lineRule="auto"/>
              <w:rPr>
                <w:rFonts w:ascii="Georgia" w:eastAsia="Times New Roman" w:hAnsi="Georgia" w:cs="Calibri"/>
                <w:sz w:val="21"/>
                <w:szCs w:val="21"/>
              </w:rPr>
            </w:pPr>
            <w:r w:rsidRPr="00864E8F">
              <w:rPr>
                <w:rFonts w:ascii="Georgia" w:eastAsia="Times New Roman" w:hAnsi="Georgia" w:cs="Calibri"/>
                <w:sz w:val="21"/>
                <w:szCs w:val="21"/>
              </w:rPr>
              <w:t xml:space="preserve">Według Warszawskiego Raportu Rowerowego 2017, udział ruchu rowerowego wyniósł 5,5% w podróżach </w:t>
            </w:r>
            <w:proofErr w:type="spellStart"/>
            <w:r w:rsidRPr="00864E8F">
              <w:rPr>
                <w:rFonts w:ascii="Georgia" w:eastAsia="Times New Roman" w:hAnsi="Georgia" w:cs="Calibri"/>
                <w:sz w:val="21"/>
                <w:szCs w:val="21"/>
              </w:rPr>
              <w:t>niepieszych</w:t>
            </w:r>
            <w:proofErr w:type="spellEnd"/>
            <w:r w:rsidRPr="00864E8F">
              <w:rPr>
                <w:rFonts w:ascii="Georgia" w:eastAsia="Times New Roman" w:hAnsi="Georgia" w:cs="Calibri"/>
                <w:sz w:val="21"/>
                <w:szCs w:val="21"/>
              </w:rPr>
              <w:t>.</w:t>
            </w:r>
          </w:p>
          <w:p w:rsidR="00864E8F" w:rsidRPr="00864E8F" w:rsidRDefault="00864E8F" w:rsidP="009930A6">
            <w:pPr>
              <w:spacing w:after="0" w:line="240" w:lineRule="auto"/>
              <w:rPr>
                <w:rFonts w:ascii="Georgia" w:eastAsia="Times New Roman" w:hAnsi="Georgia" w:cs="Calibri"/>
                <w:sz w:val="21"/>
                <w:szCs w:val="21"/>
              </w:rPr>
            </w:pPr>
            <w:r w:rsidRPr="00864E8F">
              <w:rPr>
                <w:rFonts w:ascii="Georgia" w:eastAsia="Times New Roman" w:hAnsi="Georgia" w:cs="Calibri"/>
                <w:sz w:val="21"/>
                <w:szCs w:val="21"/>
              </w:rPr>
              <w:t xml:space="preserve">Według Gdańskich Badań Ruchu 2016 udział ruchu rowerowego wyniósł 6% w ogóle podróży (z uwzględnieniem podróży pieszych, 7,5% w podróżach </w:t>
            </w:r>
            <w:proofErr w:type="spellStart"/>
            <w:r w:rsidRPr="00864E8F">
              <w:rPr>
                <w:rFonts w:ascii="Georgia" w:eastAsia="Times New Roman" w:hAnsi="Georgia" w:cs="Calibri"/>
                <w:sz w:val="21"/>
                <w:szCs w:val="21"/>
              </w:rPr>
              <w:t>niepieszych</w:t>
            </w:r>
            <w:proofErr w:type="spellEnd"/>
            <w:r w:rsidRPr="00864E8F">
              <w:rPr>
                <w:rFonts w:ascii="Georgia" w:eastAsia="Times New Roman" w:hAnsi="Georgia" w:cs="Calibri"/>
                <w:sz w:val="21"/>
                <w:szCs w:val="21"/>
              </w:rPr>
              <w:t xml:space="preserve">). </w:t>
            </w:r>
          </w:p>
        </w:tc>
      </w:tr>
      <w:tr w:rsidR="00864E8F" w:rsidRPr="00864E8F" w:rsidTr="00864E8F">
        <w:tc>
          <w:tcPr>
            <w:tcW w:w="463" w:type="dxa"/>
            <w:vAlign w:val="center"/>
          </w:tcPr>
          <w:p w:rsidR="00864E8F" w:rsidRPr="00864E8F" w:rsidRDefault="00864E8F" w:rsidP="009930A6">
            <w:pPr>
              <w:numPr>
                <w:ilvl w:val="0"/>
                <w:numId w:val="1"/>
              </w:numPr>
              <w:tabs>
                <w:tab w:val="left" w:pos="142"/>
              </w:tabs>
              <w:spacing w:after="0" w:line="240" w:lineRule="auto"/>
              <w:ind w:left="284" w:hanging="284"/>
              <w:jc w:val="center"/>
              <w:rPr>
                <w:rFonts w:ascii="Georgia" w:eastAsia="Times New Roman" w:hAnsi="Georgia" w:cs="Calibri"/>
                <w:bCs/>
                <w:sz w:val="21"/>
                <w:szCs w:val="21"/>
              </w:rPr>
            </w:pPr>
          </w:p>
        </w:tc>
        <w:tc>
          <w:tcPr>
            <w:tcW w:w="1874" w:type="dxa"/>
            <w:tcBorders>
              <w:top w:val="single" w:sz="4" w:space="0" w:color="auto"/>
              <w:left w:val="single" w:sz="4" w:space="0" w:color="auto"/>
              <w:bottom w:val="single" w:sz="4" w:space="0" w:color="auto"/>
              <w:right w:val="single" w:sz="4" w:space="0" w:color="auto"/>
            </w:tcBorders>
          </w:tcPr>
          <w:p w:rsidR="00864E8F" w:rsidRPr="00864E8F" w:rsidRDefault="00864E8F" w:rsidP="009930A6">
            <w:pPr>
              <w:spacing w:after="0" w:line="240" w:lineRule="auto"/>
              <w:rPr>
                <w:rFonts w:ascii="Georgia" w:eastAsia="Times New Roman" w:hAnsi="Georgia" w:cs="Calibri"/>
                <w:sz w:val="21"/>
                <w:szCs w:val="21"/>
              </w:rPr>
            </w:pPr>
            <w:r w:rsidRPr="00864E8F">
              <w:rPr>
                <w:rFonts w:ascii="Georgia" w:eastAsia="Times New Roman" w:hAnsi="Georgia" w:cs="Calibri"/>
                <w:sz w:val="21"/>
                <w:szCs w:val="21"/>
              </w:rPr>
              <w:t>Str. 26, Transport miejski</w:t>
            </w:r>
          </w:p>
        </w:tc>
        <w:tc>
          <w:tcPr>
            <w:tcW w:w="5426" w:type="dxa"/>
            <w:tcBorders>
              <w:top w:val="single" w:sz="4" w:space="0" w:color="auto"/>
              <w:left w:val="single" w:sz="4" w:space="0" w:color="auto"/>
              <w:bottom w:val="single" w:sz="4" w:space="0" w:color="auto"/>
              <w:right w:val="single" w:sz="4" w:space="0" w:color="auto"/>
            </w:tcBorders>
          </w:tcPr>
          <w:p w:rsidR="00864E8F" w:rsidRPr="00864E8F" w:rsidRDefault="00864E8F" w:rsidP="00864E8F">
            <w:pPr>
              <w:spacing w:after="0" w:line="240" w:lineRule="auto"/>
              <w:rPr>
                <w:rFonts w:ascii="Georgia" w:eastAsia="Times New Roman" w:hAnsi="Georgia" w:cs="Calibri"/>
                <w:sz w:val="21"/>
                <w:szCs w:val="21"/>
              </w:rPr>
            </w:pPr>
            <w:r w:rsidRPr="00864E8F">
              <w:rPr>
                <w:rFonts w:ascii="Georgia" w:eastAsia="Times New Roman" w:hAnsi="Georgia" w:cs="Calibri"/>
                <w:sz w:val="21"/>
                <w:szCs w:val="21"/>
              </w:rPr>
              <w:t>W rozdziale brakuje informacji na temat ruchu pieszego, w tym warunków ruchu i wpływu regulacji prawnych.</w:t>
            </w:r>
          </w:p>
        </w:tc>
        <w:tc>
          <w:tcPr>
            <w:tcW w:w="5670" w:type="dxa"/>
            <w:tcBorders>
              <w:top w:val="single" w:sz="4" w:space="0" w:color="auto"/>
              <w:left w:val="single" w:sz="4" w:space="0" w:color="auto"/>
              <w:bottom w:val="single" w:sz="4" w:space="0" w:color="auto"/>
              <w:right w:val="single" w:sz="4" w:space="0" w:color="auto"/>
            </w:tcBorders>
          </w:tcPr>
          <w:p w:rsidR="00864E8F" w:rsidRPr="00864E8F" w:rsidRDefault="00864E8F" w:rsidP="00864E8F">
            <w:pPr>
              <w:spacing w:after="0" w:line="240" w:lineRule="auto"/>
              <w:rPr>
                <w:rFonts w:ascii="Georgia" w:eastAsia="Times New Roman" w:hAnsi="Georgia" w:cs="Calibri"/>
                <w:sz w:val="21"/>
                <w:szCs w:val="21"/>
              </w:rPr>
            </w:pPr>
            <w:r w:rsidRPr="00864E8F">
              <w:rPr>
                <w:rFonts w:ascii="Georgia" w:eastAsia="Times New Roman" w:hAnsi="Georgia" w:cs="Calibri"/>
                <w:sz w:val="21"/>
                <w:szCs w:val="21"/>
              </w:rPr>
              <w:t>Pieszo poruszają się wszyscy zaczynający lub kończący podróże w mieście. Jednocześnie ruch pieszy utrudniony jest nie tylko na skutek niskiej jakości infrastruktury, lecz również przepisów, takich jak dozwolone parkowanie na chodnikach</w:t>
            </w:r>
            <w:r w:rsidRPr="00864E8F">
              <w:rPr>
                <w:rFonts w:ascii="Georgia" w:eastAsia="Times New Roman" w:hAnsi="Georgia" w:cs="Calibri"/>
                <w:sz w:val="21"/>
                <w:szCs w:val="21"/>
              </w:rPr>
              <w:t>)</w:t>
            </w:r>
            <w:r w:rsidRPr="00864E8F">
              <w:rPr>
                <w:rFonts w:ascii="Georgia" w:eastAsia="Times New Roman" w:hAnsi="Georgia" w:cs="Calibri"/>
                <w:sz w:val="21"/>
                <w:szCs w:val="21"/>
              </w:rPr>
              <w:t xml:space="preserve"> czy brak wymogu automatycznej detekcji pieszych oczekujących na zielone światło.</w:t>
            </w:r>
          </w:p>
        </w:tc>
      </w:tr>
      <w:tr w:rsidR="00864E8F" w:rsidRPr="00864E8F" w:rsidTr="00864E8F">
        <w:tc>
          <w:tcPr>
            <w:tcW w:w="463" w:type="dxa"/>
            <w:vAlign w:val="center"/>
          </w:tcPr>
          <w:p w:rsidR="00864E8F" w:rsidRPr="00864E8F" w:rsidRDefault="00864E8F" w:rsidP="009930A6">
            <w:pPr>
              <w:numPr>
                <w:ilvl w:val="0"/>
                <w:numId w:val="1"/>
              </w:numPr>
              <w:tabs>
                <w:tab w:val="left" w:pos="142"/>
              </w:tabs>
              <w:spacing w:after="0" w:line="240" w:lineRule="auto"/>
              <w:ind w:left="284" w:hanging="284"/>
              <w:jc w:val="center"/>
              <w:rPr>
                <w:rFonts w:ascii="Georgia" w:eastAsia="Times New Roman" w:hAnsi="Georgia" w:cs="Calibri"/>
                <w:bCs/>
                <w:sz w:val="21"/>
                <w:szCs w:val="21"/>
              </w:rPr>
            </w:pPr>
          </w:p>
        </w:tc>
        <w:tc>
          <w:tcPr>
            <w:tcW w:w="1874" w:type="dxa"/>
            <w:tcBorders>
              <w:top w:val="single" w:sz="4" w:space="0" w:color="auto"/>
              <w:left w:val="single" w:sz="4" w:space="0" w:color="auto"/>
              <w:bottom w:val="single" w:sz="4" w:space="0" w:color="auto"/>
              <w:right w:val="single" w:sz="4" w:space="0" w:color="auto"/>
            </w:tcBorders>
          </w:tcPr>
          <w:p w:rsidR="00864E8F" w:rsidRPr="00864E8F" w:rsidRDefault="00864E8F" w:rsidP="00E20B90">
            <w:pPr>
              <w:spacing w:after="0" w:line="240" w:lineRule="auto"/>
              <w:rPr>
                <w:rFonts w:ascii="Georgia" w:eastAsia="Times New Roman" w:hAnsi="Georgia" w:cs="Calibri"/>
                <w:sz w:val="21"/>
                <w:szCs w:val="21"/>
              </w:rPr>
            </w:pPr>
            <w:r w:rsidRPr="00864E8F">
              <w:rPr>
                <w:rFonts w:ascii="Georgia" w:eastAsia="Times New Roman" w:hAnsi="Georgia" w:cs="Calibri"/>
                <w:sz w:val="21"/>
                <w:szCs w:val="21"/>
              </w:rPr>
              <w:t xml:space="preserve">Str. 43, SWOT, infrastruktura </w:t>
            </w:r>
          </w:p>
        </w:tc>
        <w:tc>
          <w:tcPr>
            <w:tcW w:w="5426" w:type="dxa"/>
            <w:tcBorders>
              <w:top w:val="single" w:sz="4" w:space="0" w:color="auto"/>
              <w:left w:val="single" w:sz="4" w:space="0" w:color="auto"/>
              <w:bottom w:val="single" w:sz="4" w:space="0" w:color="auto"/>
              <w:right w:val="single" w:sz="4" w:space="0" w:color="auto"/>
            </w:tcBorders>
          </w:tcPr>
          <w:p w:rsidR="00864E8F" w:rsidRPr="00864E8F" w:rsidRDefault="00864E8F" w:rsidP="00037DE1">
            <w:pPr>
              <w:spacing w:after="0" w:line="240" w:lineRule="auto"/>
              <w:rPr>
                <w:rFonts w:ascii="Georgia" w:eastAsia="Times New Roman" w:hAnsi="Georgia" w:cs="Calibri"/>
                <w:sz w:val="21"/>
                <w:szCs w:val="21"/>
              </w:rPr>
            </w:pPr>
            <w:r w:rsidRPr="00864E8F">
              <w:rPr>
                <w:rFonts w:ascii="Georgia" w:eastAsia="Times New Roman" w:hAnsi="Georgia" w:cs="Calibri"/>
                <w:sz w:val="21"/>
                <w:szCs w:val="21"/>
              </w:rPr>
              <w:t>Punkt dotyczący wpływu przejazdów w poziomie torów na prędkość pociągów wymaga doprecyzowania.</w:t>
            </w:r>
          </w:p>
        </w:tc>
        <w:tc>
          <w:tcPr>
            <w:tcW w:w="5670" w:type="dxa"/>
            <w:tcBorders>
              <w:top w:val="single" w:sz="4" w:space="0" w:color="auto"/>
              <w:left w:val="single" w:sz="4" w:space="0" w:color="auto"/>
              <w:bottom w:val="single" w:sz="4" w:space="0" w:color="auto"/>
              <w:right w:val="single" w:sz="4" w:space="0" w:color="auto"/>
            </w:tcBorders>
          </w:tcPr>
          <w:p w:rsidR="00864E8F" w:rsidRPr="00864E8F" w:rsidRDefault="00864E8F" w:rsidP="009930A6">
            <w:pPr>
              <w:spacing w:after="0" w:line="240" w:lineRule="auto"/>
              <w:rPr>
                <w:rFonts w:ascii="Georgia" w:eastAsia="Times New Roman" w:hAnsi="Georgia" w:cs="Calibri"/>
                <w:sz w:val="21"/>
                <w:szCs w:val="21"/>
              </w:rPr>
            </w:pPr>
            <w:r w:rsidRPr="00864E8F">
              <w:rPr>
                <w:rFonts w:ascii="Georgia" w:eastAsia="Times New Roman" w:hAnsi="Georgia" w:cs="Calibri"/>
                <w:sz w:val="21"/>
                <w:szCs w:val="21"/>
              </w:rPr>
              <w:t>To, że pociągi mają obowiązek zwalniać przed niektórymi przejazdami drogowymi przez tory nie jest spowodowane infrastrukturą, a stanem prawnym, który rozmywa kwestię pierwszeństwa i odpowiedzialności na przejazdach kolejowych, wymagając, by to pociąg dostosowywał się do ruchu drogowego.</w:t>
            </w:r>
          </w:p>
        </w:tc>
      </w:tr>
      <w:tr w:rsidR="00864E8F" w:rsidRPr="00864E8F" w:rsidTr="00864E8F">
        <w:tc>
          <w:tcPr>
            <w:tcW w:w="463" w:type="dxa"/>
            <w:vAlign w:val="center"/>
          </w:tcPr>
          <w:p w:rsidR="00864E8F" w:rsidRPr="00864E8F" w:rsidRDefault="00864E8F" w:rsidP="009930A6">
            <w:pPr>
              <w:numPr>
                <w:ilvl w:val="0"/>
                <w:numId w:val="1"/>
              </w:numPr>
              <w:tabs>
                <w:tab w:val="left" w:pos="142"/>
              </w:tabs>
              <w:spacing w:after="0" w:line="240" w:lineRule="auto"/>
              <w:ind w:left="284" w:hanging="284"/>
              <w:jc w:val="center"/>
              <w:rPr>
                <w:rFonts w:ascii="Georgia" w:eastAsia="Times New Roman" w:hAnsi="Georgia" w:cs="Calibri"/>
                <w:bCs/>
                <w:sz w:val="21"/>
                <w:szCs w:val="21"/>
              </w:rPr>
            </w:pPr>
          </w:p>
        </w:tc>
        <w:tc>
          <w:tcPr>
            <w:tcW w:w="1874" w:type="dxa"/>
            <w:tcBorders>
              <w:top w:val="single" w:sz="4" w:space="0" w:color="auto"/>
              <w:left w:val="single" w:sz="4" w:space="0" w:color="auto"/>
              <w:bottom w:val="single" w:sz="4" w:space="0" w:color="auto"/>
              <w:right w:val="single" w:sz="4" w:space="0" w:color="auto"/>
            </w:tcBorders>
          </w:tcPr>
          <w:p w:rsidR="00864E8F" w:rsidRPr="00864E8F" w:rsidRDefault="00864E8F" w:rsidP="00E20B90">
            <w:pPr>
              <w:spacing w:after="0" w:line="240" w:lineRule="auto"/>
              <w:rPr>
                <w:rFonts w:ascii="Georgia" w:eastAsia="Times New Roman" w:hAnsi="Georgia" w:cs="Calibri"/>
                <w:sz w:val="21"/>
                <w:szCs w:val="21"/>
              </w:rPr>
            </w:pPr>
            <w:r w:rsidRPr="00864E8F">
              <w:rPr>
                <w:rFonts w:ascii="Georgia" w:eastAsia="Times New Roman" w:hAnsi="Georgia" w:cs="Calibri"/>
                <w:sz w:val="21"/>
                <w:szCs w:val="21"/>
              </w:rPr>
              <w:t>Str. 43, SWOT, infrastruktura</w:t>
            </w:r>
          </w:p>
        </w:tc>
        <w:tc>
          <w:tcPr>
            <w:tcW w:w="5426" w:type="dxa"/>
            <w:tcBorders>
              <w:top w:val="single" w:sz="4" w:space="0" w:color="auto"/>
              <w:left w:val="single" w:sz="4" w:space="0" w:color="auto"/>
              <w:bottom w:val="single" w:sz="4" w:space="0" w:color="auto"/>
              <w:right w:val="single" w:sz="4" w:space="0" w:color="auto"/>
            </w:tcBorders>
          </w:tcPr>
          <w:p w:rsidR="00864E8F" w:rsidRPr="00864E8F" w:rsidRDefault="00864E8F" w:rsidP="00037DE1">
            <w:pPr>
              <w:spacing w:after="0" w:line="240" w:lineRule="auto"/>
              <w:rPr>
                <w:rFonts w:ascii="Georgia" w:eastAsia="Times New Roman" w:hAnsi="Georgia" w:cs="Calibri"/>
                <w:sz w:val="21"/>
                <w:szCs w:val="21"/>
              </w:rPr>
            </w:pPr>
            <w:r w:rsidRPr="00864E8F">
              <w:rPr>
                <w:rFonts w:ascii="Georgia" w:eastAsia="Times New Roman" w:hAnsi="Georgia" w:cs="Calibri"/>
                <w:sz w:val="21"/>
                <w:szCs w:val="21"/>
              </w:rPr>
              <w:t>Słaba strona dotycząca niskiego poziomu BRD powinna zostać uzupełniona o informację na temat szczególnie złych wskaźników w odniesieniu do bezpieczeństwa niezmotoryzowanych uczestników ruchu.</w:t>
            </w:r>
          </w:p>
        </w:tc>
        <w:tc>
          <w:tcPr>
            <w:tcW w:w="5670" w:type="dxa"/>
            <w:tcBorders>
              <w:top w:val="single" w:sz="4" w:space="0" w:color="auto"/>
              <w:left w:val="single" w:sz="4" w:space="0" w:color="auto"/>
              <w:bottom w:val="single" w:sz="4" w:space="0" w:color="auto"/>
              <w:right w:val="single" w:sz="4" w:space="0" w:color="auto"/>
            </w:tcBorders>
          </w:tcPr>
          <w:p w:rsidR="00864E8F" w:rsidRPr="00864E8F" w:rsidRDefault="00864E8F" w:rsidP="00FB3CC1">
            <w:pPr>
              <w:spacing w:after="0" w:line="240" w:lineRule="auto"/>
              <w:rPr>
                <w:rFonts w:ascii="Georgia" w:eastAsia="Times New Roman" w:hAnsi="Georgia" w:cs="Calibri"/>
                <w:sz w:val="21"/>
                <w:szCs w:val="21"/>
              </w:rPr>
            </w:pPr>
            <w:r w:rsidRPr="00864E8F">
              <w:rPr>
                <w:rFonts w:ascii="Georgia" w:eastAsia="Times New Roman" w:hAnsi="Georgia" w:cs="Calibri"/>
                <w:sz w:val="21"/>
                <w:szCs w:val="21"/>
              </w:rPr>
              <w:t>Niski poziom bezpieczeństwa niechronionych uczestników ruchu powinno zostać podkreślone jako szczególna słabość polskiego systemu transportowego.</w:t>
            </w:r>
          </w:p>
        </w:tc>
      </w:tr>
      <w:tr w:rsidR="00864E8F" w:rsidRPr="00864E8F" w:rsidTr="00864E8F">
        <w:tc>
          <w:tcPr>
            <w:tcW w:w="463" w:type="dxa"/>
            <w:vAlign w:val="center"/>
          </w:tcPr>
          <w:p w:rsidR="00864E8F" w:rsidRPr="00864E8F" w:rsidRDefault="00864E8F" w:rsidP="009930A6">
            <w:pPr>
              <w:numPr>
                <w:ilvl w:val="0"/>
                <w:numId w:val="1"/>
              </w:numPr>
              <w:tabs>
                <w:tab w:val="left" w:pos="142"/>
              </w:tabs>
              <w:spacing w:after="0" w:line="240" w:lineRule="auto"/>
              <w:ind w:left="284" w:hanging="284"/>
              <w:jc w:val="center"/>
              <w:rPr>
                <w:rFonts w:ascii="Georgia" w:eastAsia="Times New Roman" w:hAnsi="Georgia" w:cs="Calibri"/>
                <w:bCs/>
                <w:sz w:val="21"/>
                <w:szCs w:val="21"/>
              </w:rPr>
            </w:pPr>
          </w:p>
        </w:tc>
        <w:tc>
          <w:tcPr>
            <w:tcW w:w="1874" w:type="dxa"/>
            <w:tcBorders>
              <w:top w:val="single" w:sz="4" w:space="0" w:color="auto"/>
              <w:left w:val="single" w:sz="4" w:space="0" w:color="auto"/>
              <w:bottom w:val="single" w:sz="4" w:space="0" w:color="auto"/>
              <w:right w:val="single" w:sz="4" w:space="0" w:color="auto"/>
            </w:tcBorders>
          </w:tcPr>
          <w:p w:rsidR="00864E8F" w:rsidRPr="00864E8F" w:rsidRDefault="00864E8F" w:rsidP="00FB3CC1">
            <w:pPr>
              <w:spacing w:after="0" w:line="240" w:lineRule="auto"/>
              <w:rPr>
                <w:rFonts w:ascii="Georgia" w:eastAsia="Times New Roman" w:hAnsi="Georgia" w:cs="Calibri"/>
                <w:sz w:val="21"/>
                <w:szCs w:val="21"/>
              </w:rPr>
            </w:pPr>
            <w:r w:rsidRPr="00864E8F">
              <w:rPr>
                <w:rFonts w:ascii="Georgia" w:eastAsia="Times New Roman" w:hAnsi="Georgia" w:cs="Calibri"/>
                <w:sz w:val="21"/>
                <w:szCs w:val="21"/>
              </w:rPr>
              <w:t>Str. 44, SWOT, infrastruktura</w:t>
            </w:r>
          </w:p>
        </w:tc>
        <w:tc>
          <w:tcPr>
            <w:tcW w:w="5426" w:type="dxa"/>
            <w:tcBorders>
              <w:top w:val="single" w:sz="4" w:space="0" w:color="auto"/>
              <w:left w:val="single" w:sz="4" w:space="0" w:color="auto"/>
              <w:bottom w:val="single" w:sz="4" w:space="0" w:color="auto"/>
              <w:right w:val="single" w:sz="4" w:space="0" w:color="auto"/>
            </w:tcBorders>
          </w:tcPr>
          <w:p w:rsidR="00864E8F" w:rsidRPr="00864E8F" w:rsidRDefault="00864E8F" w:rsidP="00C2523E">
            <w:pPr>
              <w:spacing w:after="0" w:line="240" w:lineRule="auto"/>
              <w:rPr>
                <w:rFonts w:ascii="Georgia" w:eastAsia="Times New Roman" w:hAnsi="Georgia" w:cs="Calibri"/>
                <w:sz w:val="21"/>
                <w:szCs w:val="21"/>
              </w:rPr>
            </w:pPr>
            <w:r w:rsidRPr="00864E8F">
              <w:rPr>
                <w:rFonts w:ascii="Georgia" w:eastAsia="Times New Roman" w:hAnsi="Georgia" w:cs="Calibri"/>
                <w:sz w:val="21"/>
                <w:szCs w:val="21"/>
              </w:rPr>
              <w:t>Poparcie dla rozbudo</w:t>
            </w:r>
            <w:bookmarkStart w:id="0" w:name="_GoBack"/>
            <w:bookmarkEnd w:id="0"/>
            <w:r w:rsidRPr="00864E8F">
              <w:rPr>
                <w:rFonts w:ascii="Georgia" w:eastAsia="Times New Roman" w:hAnsi="Georgia" w:cs="Calibri"/>
                <w:sz w:val="21"/>
                <w:szCs w:val="21"/>
              </w:rPr>
              <w:t>wy infrastruktury drogowej powinno być (również?) zaklasyfikowane jako zagrożenie.</w:t>
            </w:r>
          </w:p>
        </w:tc>
        <w:tc>
          <w:tcPr>
            <w:tcW w:w="5670" w:type="dxa"/>
            <w:tcBorders>
              <w:top w:val="single" w:sz="4" w:space="0" w:color="auto"/>
              <w:left w:val="single" w:sz="4" w:space="0" w:color="auto"/>
              <w:bottom w:val="single" w:sz="4" w:space="0" w:color="auto"/>
              <w:right w:val="single" w:sz="4" w:space="0" w:color="auto"/>
            </w:tcBorders>
          </w:tcPr>
          <w:p w:rsidR="00864E8F" w:rsidRPr="00864E8F" w:rsidRDefault="00864E8F" w:rsidP="00C2523E">
            <w:pPr>
              <w:spacing w:after="0" w:line="240" w:lineRule="auto"/>
              <w:rPr>
                <w:rFonts w:ascii="Georgia" w:eastAsia="Times New Roman" w:hAnsi="Georgia" w:cs="Calibri"/>
                <w:sz w:val="21"/>
                <w:szCs w:val="21"/>
              </w:rPr>
            </w:pPr>
            <w:r w:rsidRPr="00864E8F">
              <w:rPr>
                <w:rFonts w:ascii="Georgia" w:eastAsia="Times New Roman" w:hAnsi="Georgia" w:cs="Calibri"/>
                <w:sz w:val="21"/>
                <w:szCs w:val="21"/>
              </w:rPr>
              <w:t>Presja na ciągłą rozbudowę infrastruktury ukierunkowanej na wzrost natężenia ruchu samochodowego przyczynia się do dalszej dominacji tego środka transportu, pociągając za sobą wysokie koszty i presję na dalszą rozbudowę dróg.</w:t>
            </w:r>
          </w:p>
        </w:tc>
      </w:tr>
      <w:tr w:rsidR="00864E8F" w:rsidRPr="00864E8F" w:rsidTr="00864E8F">
        <w:tc>
          <w:tcPr>
            <w:tcW w:w="463" w:type="dxa"/>
            <w:vAlign w:val="center"/>
          </w:tcPr>
          <w:p w:rsidR="00864E8F" w:rsidRPr="00864E8F" w:rsidRDefault="00864E8F" w:rsidP="009930A6">
            <w:pPr>
              <w:numPr>
                <w:ilvl w:val="0"/>
                <w:numId w:val="1"/>
              </w:numPr>
              <w:tabs>
                <w:tab w:val="left" w:pos="142"/>
              </w:tabs>
              <w:spacing w:after="0" w:line="240" w:lineRule="auto"/>
              <w:ind w:left="284" w:hanging="284"/>
              <w:jc w:val="center"/>
              <w:rPr>
                <w:rFonts w:ascii="Georgia" w:eastAsia="Times New Roman" w:hAnsi="Georgia" w:cs="Calibri"/>
                <w:bCs/>
                <w:sz w:val="21"/>
                <w:szCs w:val="21"/>
              </w:rPr>
            </w:pPr>
          </w:p>
        </w:tc>
        <w:tc>
          <w:tcPr>
            <w:tcW w:w="1874" w:type="dxa"/>
            <w:tcBorders>
              <w:top w:val="single" w:sz="4" w:space="0" w:color="auto"/>
              <w:left w:val="single" w:sz="4" w:space="0" w:color="auto"/>
              <w:bottom w:val="single" w:sz="4" w:space="0" w:color="auto"/>
              <w:right w:val="single" w:sz="4" w:space="0" w:color="auto"/>
            </w:tcBorders>
          </w:tcPr>
          <w:p w:rsidR="00864E8F" w:rsidRPr="00864E8F" w:rsidRDefault="00864E8F" w:rsidP="00FB3CC1">
            <w:pPr>
              <w:spacing w:after="0" w:line="240" w:lineRule="auto"/>
              <w:rPr>
                <w:rFonts w:ascii="Georgia" w:eastAsia="Times New Roman" w:hAnsi="Georgia" w:cs="Calibri"/>
                <w:sz w:val="21"/>
                <w:szCs w:val="21"/>
              </w:rPr>
            </w:pPr>
            <w:r w:rsidRPr="00864E8F">
              <w:rPr>
                <w:rFonts w:ascii="Georgia" w:eastAsia="Times New Roman" w:hAnsi="Georgia" w:cs="Calibri"/>
                <w:sz w:val="21"/>
                <w:szCs w:val="21"/>
              </w:rPr>
              <w:t>Str. 44, SWOT, infrastruktura</w:t>
            </w:r>
          </w:p>
        </w:tc>
        <w:tc>
          <w:tcPr>
            <w:tcW w:w="5426" w:type="dxa"/>
            <w:tcBorders>
              <w:top w:val="single" w:sz="4" w:space="0" w:color="auto"/>
              <w:left w:val="single" w:sz="4" w:space="0" w:color="auto"/>
              <w:bottom w:val="single" w:sz="4" w:space="0" w:color="auto"/>
              <w:right w:val="single" w:sz="4" w:space="0" w:color="auto"/>
            </w:tcBorders>
          </w:tcPr>
          <w:p w:rsidR="00864E8F" w:rsidRPr="00864E8F" w:rsidRDefault="00864E8F" w:rsidP="009071EF">
            <w:pPr>
              <w:spacing w:after="0" w:line="240" w:lineRule="auto"/>
              <w:rPr>
                <w:rFonts w:ascii="Georgia" w:eastAsia="Times New Roman" w:hAnsi="Georgia" w:cs="Calibri"/>
                <w:sz w:val="21"/>
                <w:szCs w:val="21"/>
              </w:rPr>
            </w:pPr>
            <w:r w:rsidRPr="00864E8F">
              <w:rPr>
                <w:rFonts w:ascii="Georgia" w:eastAsia="Times New Roman" w:hAnsi="Georgia" w:cs="Calibri"/>
                <w:sz w:val="21"/>
                <w:szCs w:val="21"/>
              </w:rPr>
              <w:t xml:space="preserve">Zagrożenie dotyczące kosztów zewnętrznych powinno zostać doprecyzowane, np. jako „dalszy brak uwzględnienia kosztów zewnętrznych transportu drogowego i lotniczego w kosztach bezpośrednich”. </w:t>
            </w:r>
          </w:p>
        </w:tc>
        <w:tc>
          <w:tcPr>
            <w:tcW w:w="5670" w:type="dxa"/>
            <w:tcBorders>
              <w:top w:val="single" w:sz="4" w:space="0" w:color="auto"/>
              <w:left w:val="single" w:sz="4" w:space="0" w:color="auto"/>
              <w:bottom w:val="single" w:sz="4" w:space="0" w:color="auto"/>
              <w:right w:val="single" w:sz="4" w:space="0" w:color="auto"/>
            </w:tcBorders>
          </w:tcPr>
          <w:p w:rsidR="00864E8F" w:rsidRPr="00864E8F" w:rsidRDefault="00864E8F" w:rsidP="009071EF">
            <w:pPr>
              <w:spacing w:after="0" w:line="240" w:lineRule="auto"/>
              <w:rPr>
                <w:rFonts w:ascii="Georgia" w:eastAsia="Times New Roman" w:hAnsi="Georgia" w:cs="Calibri"/>
                <w:sz w:val="21"/>
                <w:szCs w:val="21"/>
              </w:rPr>
            </w:pPr>
            <w:r w:rsidRPr="00864E8F">
              <w:rPr>
                <w:rFonts w:ascii="Georgia" w:eastAsia="Times New Roman" w:hAnsi="Georgia" w:cs="Calibri"/>
                <w:sz w:val="21"/>
                <w:szCs w:val="21"/>
              </w:rPr>
              <w:t xml:space="preserve">Jednym z obecnych źródeł problemów w zakresie konkurencyjności między mniej i bardziej przyjaznych dla środowiska sposobów przemieszczania ludzi i towarów jest nierównomierny stopień internalizacji kosztów zewnętrznych. Kontynuacja takiego stanu stwarza ryzyko </w:t>
            </w:r>
            <w:r w:rsidRPr="00864E8F">
              <w:rPr>
                <w:rFonts w:ascii="Georgia" w:eastAsia="Times New Roman" w:hAnsi="Georgia" w:cs="Calibri"/>
                <w:sz w:val="21"/>
                <w:szCs w:val="21"/>
              </w:rPr>
              <w:lastRenderedPageBreak/>
              <w:t>dalszej niesprawiedliwej konkurencji międzygałęziowej. Kwestia ta została zresztą dostrzeżona w dalszej części tabeli, w szansach w zakresie rynku transportowego.</w:t>
            </w:r>
          </w:p>
        </w:tc>
      </w:tr>
      <w:tr w:rsidR="00864E8F" w:rsidRPr="00864E8F" w:rsidTr="00864E8F">
        <w:tc>
          <w:tcPr>
            <w:tcW w:w="463" w:type="dxa"/>
            <w:vAlign w:val="center"/>
          </w:tcPr>
          <w:p w:rsidR="00864E8F" w:rsidRPr="00864E8F" w:rsidRDefault="00864E8F" w:rsidP="009930A6">
            <w:pPr>
              <w:numPr>
                <w:ilvl w:val="0"/>
                <w:numId w:val="1"/>
              </w:numPr>
              <w:tabs>
                <w:tab w:val="left" w:pos="142"/>
              </w:tabs>
              <w:spacing w:after="0" w:line="240" w:lineRule="auto"/>
              <w:ind w:left="284" w:hanging="284"/>
              <w:jc w:val="center"/>
              <w:rPr>
                <w:rFonts w:ascii="Georgia" w:eastAsia="Times New Roman" w:hAnsi="Georgia" w:cs="Calibri"/>
                <w:bCs/>
                <w:sz w:val="21"/>
                <w:szCs w:val="21"/>
              </w:rPr>
            </w:pPr>
          </w:p>
        </w:tc>
        <w:tc>
          <w:tcPr>
            <w:tcW w:w="1874" w:type="dxa"/>
            <w:tcBorders>
              <w:top w:val="single" w:sz="4" w:space="0" w:color="auto"/>
              <w:left w:val="single" w:sz="4" w:space="0" w:color="auto"/>
              <w:bottom w:val="single" w:sz="4" w:space="0" w:color="auto"/>
              <w:right w:val="single" w:sz="4" w:space="0" w:color="auto"/>
            </w:tcBorders>
          </w:tcPr>
          <w:p w:rsidR="00864E8F" w:rsidRPr="00864E8F" w:rsidRDefault="00864E8F" w:rsidP="009930A6">
            <w:pPr>
              <w:spacing w:after="0" w:line="240" w:lineRule="auto"/>
              <w:rPr>
                <w:rFonts w:ascii="Georgia" w:eastAsia="Times New Roman" w:hAnsi="Georgia" w:cs="Calibri"/>
                <w:sz w:val="21"/>
                <w:szCs w:val="21"/>
              </w:rPr>
            </w:pPr>
            <w:r w:rsidRPr="00864E8F">
              <w:rPr>
                <w:rFonts w:ascii="Georgia" w:eastAsia="Times New Roman" w:hAnsi="Georgia" w:cs="Calibri"/>
                <w:sz w:val="21"/>
                <w:szCs w:val="21"/>
              </w:rPr>
              <w:t>Str. 61, Kierunek interwencji 1</w:t>
            </w:r>
          </w:p>
        </w:tc>
        <w:tc>
          <w:tcPr>
            <w:tcW w:w="5426" w:type="dxa"/>
            <w:tcBorders>
              <w:top w:val="single" w:sz="4" w:space="0" w:color="auto"/>
              <w:left w:val="single" w:sz="4" w:space="0" w:color="auto"/>
              <w:bottom w:val="single" w:sz="4" w:space="0" w:color="auto"/>
              <w:right w:val="single" w:sz="4" w:space="0" w:color="auto"/>
            </w:tcBorders>
          </w:tcPr>
          <w:p w:rsidR="00864E8F" w:rsidRPr="00864E8F" w:rsidRDefault="00864E8F" w:rsidP="009F6AB0">
            <w:pPr>
              <w:spacing w:after="0" w:line="240" w:lineRule="auto"/>
              <w:rPr>
                <w:rFonts w:ascii="Georgia" w:eastAsia="Times New Roman" w:hAnsi="Georgia" w:cs="Calibri"/>
                <w:sz w:val="21"/>
                <w:szCs w:val="21"/>
              </w:rPr>
            </w:pPr>
            <w:r w:rsidRPr="00864E8F">
              <w:rPr>
                <w:rFonts w:ascii="Georgia" w:eastAsia="Times New Roman" w:hAnsi="Georgia" w:cs="Calibri"/>
                <w:sz w:val="21"/>
                <w:szCs w:val="21"/>
              </w:rPr>
              <w:t>Zapis dotyczący „wielopoziomowych skrzyżowań wielkich arterii” powinien zostać doprecyzowany jako adresowany do obszarów pozamiejskich.</w:t>
            </w:r>
          </w:p>
        </w:tc>
        <w:tc>
          <w:tcPr>
            <w:tcW w:w="5670" w:type="dxa"/>
            <w:tcBorders>
              <w:top w:val="single" w:sz="4" w:space="0" w:color="auto"/>
              <w:left w:val="single" w:sz="4" w:space="0" w:color="auto"/>
              <w:bottom w:val="single" w:sz="4" w:space="0" w:color="auto"/>
              <w:right w:val="single" w:sz="4" w:space="0" w:color="auto"/>
            </w:tcBorders>
          </w:tcPr>
          <w:p w:rsidR="00864E8F" w:rsidRPr="00864E8F" w:rsidRDefault="00864E8F" w:rsidP="009930A6">
            <w:pPr>
              <w:spacing w:after="0" w:line="240" w:lineRule="auto"/>
              <w:rPr>
                <w:rFonts w:ascii="Georgia" w:eastAsia="Times New Roman" w:hAnsi="Georgia" w:cs="Calibri"/>
                <w:sz w:val="21"/>
                <w:szCs w:val="21"/>
              </w:rPr>
            </w:pPr>
            <w:r w:rsidRPr="00864E8F">
              <w:rPr>
                <w:rFonts w:ascii="Georgia" w:eastAsia="Times New Roman" w:hAnsi="Georgia" w:cs="Calibri"/>
                <w:sz w:val="21"/>
                <w:szCs w:val="21"/>
              </w:rPr>
              <w:t>Wielopoziomowe skrzyżowania w miastach służą głównie wzrostowi natężenia ruchu samochodowego, pogarszają warunki ruchu niezmotoryzowanego i komunikacji zbiorowej (duże odległości i problemy z przesiadkami), jak też znacząco obniżają jakość i dostępność przestrzeni miejskiej.</w:t>
            </w:r>
          </w:p>
        </w:tc>
      </w:tr>
      <w:tr w:rsidR="00864E8F" w:rsidRPr="00864E8F" w:rsidTr="00864E8F">
        <w:tc>
          <w:tcPr>
            <w:tcW w:w="463" w:type="dxa"/>
            <w:vAlign w:val="center"/>
          </w:tcPr>
          <w:p w:rsidR="00864E8F" w:rsidRPr="00864E8F" w:rsidRDefault="00864E8F" w:rsidP="00C17D11">
            <w:pPr>
              <w:numPr>
                <w:ilvl w:val="0"/>
                <w:numId w:val="1"/>
              </w:numPr>
              <w:tabs>
                <w:tab w:val="left" w:pos="142"/>
              </w:tabs>
              <w:spacing w:after="0" w:line="240" w:lineRule="auto"/>
              <w:ind w:left="284" w:hanging="284"/>
              <w:jc w:val="center"/>
              <w:rPr>
                <w:rFonts w:ascii="Georgia" w:eastAsia="Times New Roman" w:hAnsi="Georgia" w:cs="Calibri"/>
                <w:bCs/>
                <w:sz w:val="21"/>
                <w:szCs w:val="21"/>
              </w:rPr>
            </w:pPr>
          </w:p>
        </w:tc>
        <w:tc>
          <w:tcPr>
            <w:tcW w:w="1874" w:type="dxa"/>
          </w:tcPr>
          <w:p w:rsidR="00864E8F" w:rsidRPr="00864E8F" w:rsidRDefault="00864E8F" w:rsidP="00C17D11">
            <w:pPr>
              <w:spacing w:after="0" w:line="240" w:lineRule="auto"/>
              <w:rPr>
                <w:rFonts w:ascii="Georgia" w:eastAsia="Times New Roman" w:hAnsi="Georgia" w:cs="Calibri"/>
                <w:sz w:val="21"/>
                <w:szCs w:val="21"/>
              </w:rPr>
            </w:pPr>
            <w:r w:rsidRPr="00864E8F">
              <w:rPr>
                <w:rFonts w:ascii="Georgia" w:eastAsia="Times New Roman" w:hAnsi="Georgia" w:cs="Calibri"/>
                <w:sz w:val="21"/>
                <w:szCs w:val="21"/>
              </w:rPr>
              <w:t>Str. 93, 4.5. Transport miejski i aglomeracyjny</w:t>
            </w:r>
          </w:p>
        </w:tc>
        <w:tc>
          <w:tcPr>
            <w:tcW w:w="5426" w:type="dxa"/>
          </w:tcPr>
          <w:p w:rsidR="00864E8F" w:rsidRPr="00864E8F" w:rsidRDefault="00864E8F" w:rsidP="00A3282D">
            <w:pPr>
              <w:spacing w:after="0" w:line="240" w:lineRule="auto"/>
              <w:rPr>
                <w:rFonts w:ascii="Georgia" w:eastAsia="Times New Roman" w:hAnsi="Georgia" w:cs="Calibri"/>
                <w:sz w:val="21"/>
                <w:szCs w:val="21"/>
              </w:rPr>
            </w:pPr>
            <w:r w:rsidRPr="00864E8F">
              <w:rPr>
                <w:rFonts w:ascii="Georgia" w:eastAsia="Times New Roman" w:hAnsi="Georgia" w:cs="Calibri"/>
                <w:sz w:val="21"/>
                <w:szCs w:val="21"/>
              </w:rPr>
              <w:t>Cel stworzenia zrównoważonego systemu transportowego w polskich miastach powinien zostać doprecyzowany jako osiągnięcie wysokiego udziału (powyżej 65% w miastach wojewódzkich) przyjaznych dla przestrzeni, zdrowia i środowiska środków transportu (transportu zbiorowego, ruchu pieszego i rowerowego).</w:t>
            </w:r>
          </w:p>
        </w:tc>
        <w:tc>
          <w:tcPr>
            <w:tcW w:w="5670" w:type="dxa"/>
          </w:tcPr>
          <w:p w:rsidR="00864E8F" w:rsidRPr="00864E8F" w:rsidRDefault="00864E8F" w:rsidP="00356B3B">
            <w:pPr>
              <w:spacing w:after="0" w:line="240" w:lineRule="auto"/>
              <w:rPr>
                <w:rFonts w:ascii="Georgia" w:eastAsia="Times New Roman" w:hAnsi="Georgia" w:cs="Calibri"/>
                <w:sz w:val="21"/>
                <w:szCs w:val="21"/>
              </w:rPr>
            </w:pPr>
            <w:r w:rsidRPr="00864E8F">
              <w:rPr>
                <w:rFonts w:ascii="Georgia" w:eastAsia="Times New Roman" w:hAnsi="Georgia" w:cs="Calibri"/>
                <w:sz w:val="21"/>
                <w:szCs w:val="21"/>
              </w:rPr>
              <w:t>Ogólnie sformułowany cel nie wskazuje do czego konkretnie mają prowadzić podejmowane działania.</w:t>
            </w:r>
          </w:p>
        </w:tc>
      </w:tr>
      <w:tr w:rsidR="00864E8F" w:rsidRPr="00864E8F" w:rsidTr="00864E8F">
        <w:trPr>
          <w:trHeight w:val="1266"/>
        </w:trPr>
        <w:tc>
          <w:tcPr>
            <w:tcW w:w="463" w:type="dxa"/>
            <w:vAlign w:val="center"/>
          </w:tcPr>
          <w:p w:rsidR="00864E8F" w:rsidRPr="00864E8F" w:rsidRDefault="00864E8F" w:rsidP="00C17D11">
            <w:pPr>
              <w:numPr>
                <w:ilvl w:val="0"/>
                <w:numId w:val="1"/>
              </w:numPr>
              <w:tabs>
                <w:tab w:val="left" w:pos="142"/>
              </w:tabs>
              <w:spacing w:after="0" w:line="240" w:lineRule="auto"/>
              <w:ind w:left="284" w:hanging="284"/>
              <w:jc w:val="center"/>
              <w:rPr>
                <w:rFonts w:ascii="Georgia" w:eastAsia="Times New Roman" w:hAnsi="Georgia" w:cs="Calibri"/>
                <w:bCs/>
                <w:sz w:val="21"/>
                <w:szCs w:val="21"/>
              </w:rPr>
            </w:pPr>
          </w:p>
        </w:tc>
        <w:tc>
          <w:tcPr>
            <w:tcW w:w="1874" w:type="dxa"/>
          </w:tcPr>
          <w:p w:rsidR="00864E8F" w:rsidRPr="00864E8F" w:rsidRDefault="00864E8F" w:rsidP="00C2523E">
            <w:pPr>
              <w:spacing w:after="0" w:line="240" w:lineRule="auto"/>
              <w:rPr>
                <w:rFonts w:ascii="Georgia" w:eastAsia="Times New Roman" w:hAnsi="Georgia" w:cs="Calibri"/>
                <w:sz w:val="21"/>
                <w:szCs w:val="21"/>
              </w:rPr>
            </w:pPr>
            <w:r w:rsidRPr="00864E8F">
              <w:rPr>
                <w:rFonts w:ascii="Georgia" w:eastAsia="Times New Roman" w:hAnsi="Georgia" w:cs="Calibri"/>
                <w:sz w:val="21"/>
                <w:szCs w:val="21"/>
              </w:rPr>
              <w:t>Str. 101, Projekt strategiczny: unowocześnienie parku taboru kolejowego</w:t>
            </w:r>
          </w:p>
        </w:tc>
        <w:tc>
          <w:tcPr>
            <w:tcW w:w="5426" w:type="dxa"/>
          </w:tcPr>
          <w:p w:rsidR="00864E8F" w:rsidRPr="00864E8F" w:rsidRDefault="00864E8F" w:rsidP="00E91DB5">
            <w:pPr>
              <w:spacing w:after="0" w:line="240" w:lineRule="auto"/>
              <w:rPr>
                <w:rFonts w:ascii="Georgia" w:eastAsia="Times New Roman" w:hAnsi="Georgia" w:cs="Calibri"/>
                <w:sz w:val="21"/>
                <w:szCs w:val="21"/>
              </w:rPr>
            </w:pPr>
            <w:r w:rsidRPr="00864E8F">
              <w:rPr>
                <w:rFonts w:ascii="Georgia" w:eastAsia="Times New Roman" w:hAnsi="Georgia" w:cs="Calibri"/>
                <w:sz w:val="21"/>
                <w:szCs w:val="21"/>
              </w:rPr>
              <w:t>Zapis dotyczący „współczesnych wymagań podróżnych” powinien zostać doprecyzowany.</w:t>
            </w:r>
          </w:p>
        </w:tc>
        <w:tc>
          <w:tcPr>
            <w:tcW w:w="5670" w:type="dxa"/>
          </w:tcPr>
          <w:p w:rsidR="00864E8F" w:rsidRPr="00864E8F" w:rsidRDefault="00864E8F" w:rsidP="00E91DB5">
            <w:pPr>
              <w:spacing w:after="0" w:line="240" w:lineRule="auto"/>
              <w:rPr>
                <w:rFonts w:ascii="Georgia" w:eastAsia="Times New Roman" w:hAnsi="Georgia" w:cs="Calibri"/>
                <w:sz w:val="21"/>
                <w:szCs w:val="21"/>
              </w:rPr>
            </w:pPr>
            <w:r w:rsidRPr="00864E8F">
              <w:rPr>
                <w:rFonts w:ascii="Georgia" w:eastAsia="Times New Roman" w:hAnsi="Georgia" w:cs="Calibri"/>
                <w:sz w:val="21"/>
                <w:szCs w:val="21"/>
              </w:rPr>
              <w:t xml:space="preserve">Poza osobami o ograniczonej mobilności, tabor powinien uwzględniać potrzeby osób realizujących podróże intermodalne w ramach łańcuchów </w:t>
            </w:r>
            <w:proofErr w:type="spellStart"/>
            <w:r w:rsidRPr="00864E8F">
              <w:rPr>
                <w:rFonts w:ascii="Georgia" w:eastAsia="Times New Roman" w:hAnsi="Georgia" w:cs="Calibri"/>
                <w:sz w:val="21"/>
                <w:szCs w:val="21"/>
              </w:rPr>
              <w:t>ekomobilności</w:t>
            </w:r>
            <w:proofErr w:type="spellEnd"/>
            <w:r w:rsidRPr="00864E8F">
              <w:rPr>
                <w:rFonts w:ascii="Georgia" w:eastAsia="Times New Roman" w:hAnsi="Georgia" w:cs="Calibri"/>
                <w:sz w:val="21"/>
                <w:szCs w:val="21"/>
              </w:rPr>
              <w:t>, czyli np. podróżujących z rowerami. W tym celu jako domyślne rozwiązanie powinna zostać wdrożona przestrzeń umożliwiająca przewóz min. 12 rowerów bez potrzeby ich wieszania (w przypadku mniejszej liczby rowerów, przestrzeń ta może być wykorzystana na inne cele), wykraczając w ten sposób poza minimalne wymagania procedowane na poziomie UE.</w:t>
            </w:r>
          </w:p>
        </w:tc>
      </w:tr>
      <w:tr w:rsidR="00864E8F" w:rsidRPr="00864E8F" w:rsidTr="00864E8F">
        <w:trPr>
          <w:trHeight w:val="1266"/>
        </w:trPr>
        <w:tc>
          <w:tcPr>
            <w:tcW w:w="463" w:type="dxa"/>
            <w:vAlign w:val="center"/>
          </w:tcPr>
          <w:p w:rsidR="00864E8F" w:rsidRPr="00864E8F" w:rsidRDefault="00864E8F" w:rsidP="00C17D11">
            <w:pPr>
              <w:numPr>
                <w:ilvl w:val="0"/>
                <w:numId w:val="1"/>
              </w:numPr>
              <w:tabs>
                <w:tab w:val="left" w:pos="142"/>
              </w:tabs>
              <w:spacing w:after="0" w:line="240" w:lineRule="auto"/>
              <w:ind w:left="284" w:hanging="284"/>
              <w:jc w:val="center"/>
              <w:rPr>
                <w:rFonts w:ascii="Georgia" w:eastAsia="Times New Roman" w:hAnsi="Georgia" w:cs="Calibri"/>
                <w:bCs/>
                <w:sz w:val="21"/>
                <w:szCs w:val="21"/>
              </w:rPr>
            </w:pPr>
          </w:p>
        </w:tc>
        <w:tc>
          <w:tcPr>
            <w:tcW w:w="1874" w:type="dxa"/>
          </w:tcPr>
          <w:p w:rsidR="00864E8F" w:rsidRPr="00864E8F" w:rsidRDefault="00864E8F" w:rsidP="00E91DB5">
            <w:pPr>
              <w:spacing w:after="0" w:line="240" w:lineRule="auto"/>
              <w:rPr>
                <w:rFonts w:ascii="Georgia" w:eastAsia="Times New Roman" w:hAnsi="Georgia" w:cs="Calibri"/>
                <w:sz w:val="21"/>
                <w:szCs w:val="21"/>
              </w:rPr>
            </w:pPr>
            <w:r w:rsidRPr="00864E8F">
              <w:rPr>
                <w:rFonts w:ascii="Georgia" w:eastAsia="Times New Roman" w:hAnsi="Georgia" w:cs="Calibri"/>
                <w:sz w:val="21"/>
                <w:szCs w:val="21"/>
              </w:rPr>
              <w:t>Str. 101, Projekt strategiczny: Wspólny bilet</w:t>
            </w:r>
          </w:p>
        </w:tc>
        <w:tc>
          <w:tcPr>
            <w:tcW w:w="5426" w:type="dxa"/>
          </w:tcPr>
          <w:p w:rsidR="00864E8F" w:rsidRPr="00864E8F" w:rsidRDefault="00864E8F" w:rsidP="00864E8F">
            <w:pPr>
              <w:spacing w:after="0" w:line="240" w:lineRule="auto"/>
              <w:rPr>
                <w:rFonts w:ascii="Georgia" w:eastAsia="Times New Roman" w:hAnsi="Georgia" w:cs="Calibri"/>
                <w:sz w:val="21"/>
                <w:szCs w:val="21"/>
              </w:rPr>
            </w:pPr>
            <w:r w:rsidRPr="00864E8F">
              <w:rPr>
                <w:rFonts w:ascii="Georgia" w:eastAsia="Times New Roman" w:hAnsi="Georgia" w:cs="Calibri"/>
                <w:sz w:val="21"/>
                <w:szCs w:val="21"/>
              </w:rPr>
              <w:t>Opis projektu powinien zostać doprecyzowany, tak by zapewniać faktyczną możliwość realizacji wygodnej i efektywnej podróży z przesiadkami.</w:t>
            </w:r>
          </w:p>
        </w:tc>
        <w:tc>
          <w:tcPr>
            <w:tcW w:w="5670" w:type="dxa"/>
          </w:tcPr>
          <w:p w:rsidR="00864E8F" w:rsidRPr="00864E8F" w:rsidRDefault="00864E8F" w:rsidP="00E91DB5">
            <w:pPr>
              <w:spacing w:after="0" w:line="240" w:lineRule="auto"/>
              <w:rPr>
                <w:rFonts w:ascii="Georgia" w:eastAsia="Times New Roman" w:hAnsi="Georgia" w:cs="Calibri"/>
                <w:sz w:val="21"/>
                <w:szCs w:val="21"/>
              </w:rPr>
            </w:pPr>
            <w:r w:rsidRPr="00864E8F">
              <w:rPr>
                <w:rFonts w:ascii="Georgia" w:eastAsia="Times New Roman" w:hAnsi="Georgia" w:cs="Calibri"/>
                <w:sz w:val="21"/>
                <w:szCs w:val="21"/>
              </w:rPr>
              <w:t>Pierwsze doświadczenia z projektem (zakazanie zakupu wspólnego biletu z przesiadką w czasie krótszym niż 10 minut, choćby odbywała się na tym samym peronie) wskazuje na potrzebę doprecyzowania oczekiwań odnośnie atrakcyjnej i efektywnej podróży.</w:t>
            </w:r>
          </w:p>
        </w:tc>
      </w:tr>
      <w:tr w:rsidR="00864E8F" w:rsidRPr="00864E8F" w:rsidTr="00864E8F">
        <w:trPr>
          <w:trHeight w:val="1266"/>
        </w:trPr>
        <w:tc>
          <w:tcPr>
            <w:tcW w:w="463" w:type="dxa"/>
            <w:vAlign w:val="center"/>
          </w:tcPr>
          <w:p w:rsidR="00864E8F" w:rsidRPr="00864E8F" w:rsidRDefault="00864E8F" w:rsidP="00C17D11">
            <w:pPr>
              <w:numPr>
                <w:ilvl w:val="0"/>
                <w:numId w:val="1"/>
              </w:numPr>
              <w:tabs>
                <w:tab w:val="left" w:pos="142"/>
              </w:tabs>
              <w:spacing w:after="0" w:line="240" w:lineRule="auto"/>
              <w:ind w:left="284" w:hanging="284"/>
              <w:jc w:val="center"/>
              <w:rPr>
                <w:rFonts w:ascii="Georgia" w:eastAsia="Times New Roman" w:hAnsi="Georgia" w:cs="Calibri"/>
                <w:bCs/>
                <w:sz w:val="21"/>
                <w:szCs w:val="21"/>
              </w:rPr>
            </w:pPr>
          </w:p>
        </w:tc>
        <w:tc>
          <w:tcPr>
            <w:tcW w:w="1874" w:type="dxa"/>
          </w:tcPr>
          <w:p w:rsidR="00864E8F" w:rsidRPr="00864E8F" w:rsidRDefault="00864E8F" w:rsidP="00FA122C">
            <w:pPr>
              <w:spacing w:after="0" w:line="240" w:lineRule="auto"/>
              <w:rPr>
                <w:rFonts w:ascii="Georgia" w:eastAsia="Times New Roman" w:hAnsi="Georgia" w:cs="Calibri"/>
                <w:sz w:val="21"/>
                <w:szCs w:val="21"/>
              </w:rPr>
            </w:pPr>
            <w:r w:rsidRPr="00864E8F">
              <w:rPr>
                <w:rFonts w:ascii="Georgia" w:eastAsia="Times New Roman" w:hAnsi="Georgia" w:cs="Calibri"/>
                <w:sz w:val="21"/>
                <w:szCs w:val="21"/>
              </w:rPr>
              <w:t>Str. 107, Transport miejski</w:t>
            </w:r>
          </w:p>
        </w:tc>
        <w:tc>
          <w:tcPr>
            <w:tcW w:w="5426" w:type="dxa"/>
          </w:tcPr>
          <w:p w:rsidR="00864E8F" w:rsidRPr="00864E8F" w:rsidRDefault="00864E8F" w:rsidP="00FA122C">
            <w:pPr>
              <w:spacing w:after="0" w:line="240" w:lineRule="auto"/>
              <w:rPr>
                <w:rFonts w:ascii="Georgia" w:eastAsia="Times New Roman" w:hAnsi="Georgia" w:cs="Calibri"/>
                <w:sz w:val="21"/>
                <w:szCs w:val="21"/>
              </w:rPr>
            </w:pPr>
            <w:r w:rsidRPr="00864E8F">
              <w:rPr>
                <w:rFonts w:ascii="Georgia" w:eastAsia="Times New Roman" w:hAnsi="Georgia" w:cs="Calibri"/>
                <w:sz w:val="21"/>
                <w:szCs w:val="21"/>
              </w:rPr>
              <w:t>Zapisy odnośnie polityki parkingowej powinny zostać doprecyzowane, ew. uzupełnione, tak by wskazywały na potrzebę promocji pojazdów współdzielonych oraz ruchu niezmotoryzowanego.</w:t>
            </w:r>
          </w:p>
        </w:tc>
        <w:tc>
          <w:tcPr>
            <w:tcW w:w="5670" w:type="dxa"/>
          </w:tcPr>
          <w:p w:rsidR="00864E8F" w:rsidRPr="00864E8F" w:rsidRDefault="00864E8F" w:rsidP="00C2523E">
            <w:pPr>
              <w:spacing w:after="0" w:line="240" w:lineRule="auto"/>
              <w:rPr>
                <w:rFonts w:ascii="Georgia" w:eastAsia="Times New Roman" w:hAnsi="Georgia" w:cs="Calibri"/>
                <w:sz w:val="21"/>
                <w:szCs w:val="21"/>
              </w:rPr>
            </w:pPr>
            <w:r w:rsidRPr="00864E8F">
              <w:rPr>
                <w:rFonts w:ascii="Georgia" w:eastAsia="Times New Roman" w:hAnsi="Georgia" w:cs="Calibri"/>
                <w:sz w:val="21"/>
                <w:szCs w:val="21"/>
              </w:rPr>
              <w:t xml:space="preserve">Obecny zapis sugeruje, że polityka parkingowa promować będzie pojazdy o konkretnych rodzajach napędów, co przeczy celowi ograniczenia zatłoczenia na drogach oraz promocji transportu zbiorowego. Sposobem na faktyczną poprawę mobilności przy pomocy polityki parkingowej jest ustanowienie korzystnych warunków dla parkowania </w:t>
            </w:r>
            <w:r w:rsidRPr="00864E8F">
              <w:rPr>
                <w:rFonts w:ascii="Georgia" w:eastAsia="Times New Roman" w:hAnsi="Georgia" w:cs="Calibri"/>
                <w:sz w:val="21"/>
                <w:szCs w:val="21"/>
              </w:rPr>
              <w:lastRenderedPageBreak/>
              <w:t>dla pojazdów użytkowanych przez większą liczbę osób (co przekłada się na mniejszą liczbę pojazdów oraz krótszy czas nieużytkowania). Jednocześnie przepisy dotyczące warunków parkowania powinny zostać doprecyzowane tak, by zapewnić odpowiednią podaż miejsc do parkowania rowerów. W tym celu możliwe jest np. wprowadzenie do rozporządzeń odpowiednich modeli słupków i innych urządzeń BRD, umożliwiających wygodne parkowanie rowerów (oparcie o nie roweru i przypięcie do niego koła i ramy).</w:t>
            </w:r>
          </w:p>
        </w:tc>
      </w:tr>
      <w:tr w:rsidR="00864E8F" w:rsidRPr="00864E8F" w:rsidTr="00864E8F">
        <w:trPr>
          <w:trHeight w:val="1266"/>
        </w:trPr>
        <w:tc>
          <w:tcPr>
            <w:tcW w:w="463" w:type="dxa"/>
            <w:vAlign w:val="center"/>
          </w:tcPr>
          <w:p w:rsidR="00864E8F" w:rsidRPr="00864E8F" w:rsidRDefault="00864E8F" w:rsidP="00C17D11">
            <w:pPr>
              <w:numPr>
                <w:ilvl w:val="0"/>
                <w:numId w:val="1"/>
              </w:numPr>
              <w:tabs>
                <w:tab w:val="left" w:pos="142"/>
              </w:tabs>
              <w:spacing w:after="0" w:line="240" w:lineRule="auto"/>
              <w:ind w:left="284" w:hanging="284"/>
              <w:jc w:val="center"/>
              <w:rPr>
                <w:rFonts w:ascii="Georgia" w:eastAsia="Times New Roman" w:hAnsi="Georgia" w:cs="Calibri"/>
                <w:bCs/>
                <w:sz w:val="21"/>
                <w:szCs w:val="21"/>
              </w:rPr>
            </w:pPr>
          </w:p>
        </w:tc>
        <w:tc>
          <w:tcPr>
            <w:tcW w:w="1874" w:type="dxa"/>
          </w:tcPr>
          <w:p w:rsidR="00864E8F" w:rsidRPr="00864E8F" w:rsidRDefault="00864E8F" w:rsidP="00FA122C">
            <w:pPr>
              <w:spacing w:after="0" w:line="240" w:lineRule="auto"/>
              <w:rPr>
                <w:rFonts w:ascii="Georgia" w:eastAsia="Times New Roman" w:hAnsi="Georgia" w:cs="Calibri"/>
                <w:sz w:val="21"/>
                <w:szCs w:val="21"/>
              </w:rPr>
            </w:pPr>
            <w:r w:rsidRPr="00864E8F">
              <w:rPr>
                <w:rFonts w:ascii="Georgia" w:eastAsia="Times New Roman" w:hAnsi="Georgia" w:cs="Calibri"/>
                <w:sz w:val="21"/>
                <w:szCs w:val="21"/>
              </w:rPr>
              <w:t>Str. 110, Transport drogowy</w:t>
            </w:r>
          </w:p>
        </w:tc>
        <w:tc>
          <w:tcPr>
            <w:tcW w:w="5426" w:type="dxa"/>
          </w:tcPr>
          <w:p w:rsidR="00864E8F" w:rsidRPr="00864E8F" w:rsidRDefault="00864E8F" w:rsidP="00FA122C">
            <w:pPr>
              <w:spacing w:after="0" w:line="240" w:lineRule="auto"/>
              <w:rPr>
                <w:rFonts w:ascii="Georgia" w:eastAsia="Times New Roman" w:hAnsi="Georgia" w:cs="Calibri"/>
                <w:sz w:val="21"/>
                <w:szCs w:val="21"/>
              </w:rPr>
            </w:pPr>
            <w:r w:rsidRPr="00864E8F">
              <w:rPr>
                <w:rFonts w:ascii="Georgia" w:eastAsia="Times New Roman" w:hAnsi="Georgia" w:cs="Calibri"/>
                <w:sz w:val="21"/>
                <w:szCs w:val="21"/>
              </w:rPr>
              <w:t>Wśród działań służących efektywnemu wykorzystaniu infrastruktury drogowej, rozwój elektronicznego systemu poboru opłat nie powinien być ograniczony do pojazdów ciężarowych na wybranych drogach. Uwzględniona powinna zostać możliwość automatyzacja poboru opłat od wszystkich rodzajów pojazdów samochodowych, jak też za wjazd do obszarów miejskich.</w:t>
            </w:r>
          </w:p>
        </w:tc>
        <w:tc>
          <w:tcPr>
            <w:tcW w:w="5670" w:type="dxa"/>
          </w:tcPr>
          <w:p w:rsidR="00864E8F" w:rsidRPr="00864E8F" w:rsidRDefault="00864E8F" w:rsidP="00C2523E">
            <w:pPr>
              <w:spacing w:after="0" w:line="240" w:lineRule="auto"/>
              <w:rPr>
                <w:rFonts w:ascii="Georgia" w:eastAsia="Times New Roman" w:hAnsi="Georgia" w:cs="Calibri"/>
                <w:sz w:val="21"/>
                <w:szCs w:val="21"/>
              </w:rPr>
            </w:pPr>
            <w:r w:rsidRPr="00864E8F">
              <w:rPr>
                <w:rFonts w:ascii="Georgia" w:eastAsia="Times New Roman" w:hAnsi="Georgia" w:cs="Calibri"/>
                <w:sz w:val="21"/>
                <w:szCs w:val="21"/>
              </w:rPr>
              <w:t>W celu skutecznego zarządzania popytem w systemie transportowym, konieczne jest wdrożenie możliwości regulowania popytu na przejazdy, w tym przy pomocy opłat za przejazd – również samochodami. Jest to szczególnie istotne w przypadku obszarów miejskich, gdzie popyt regularnie przewyższa chłonność obszaru. Aby móc go regulować, konieczne jest uwzględnienie w prawie możliwości poboru opłat za wjazd do obszarów miejskich (nie tylko w tunelach i na mostach).</w:t>
            </w:r>
          </w:p>
        </w:tc>
      </w:tr>
    </w:tbl>
    <w:p w:rsidR="00667EE6" w:rsidRPr="00864E8F" w:rsidRDefault="00667EE6">
      <w:pPr>
        <w:rPr>
          <w:rFonts w:ascii="Georgia" w:hAnsi="Georgia"/>
          <w:sz w:val="21"/>
          <w:szCs w:val="21"/>
        </w:rPr>
      </w:pPr>
    </w:p>
    <w:sectPr w:rsidR="00667EE6" w:rsidRPr="00864E8F" w:rsidSect="00316B3C">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377" w:rsidRDefault="000E4377" w:rsidP="00E20B90">
      <w:pPr>
        <w:spacing w:after="0" w:line="240" w:lineRule="auto"/>
      </w:pPr>
      <w:r>
        <w:separator/>
      </w:r>
    </w:p>
  </w:endnote>
  <w:endnote w:type="continuationSeparator" w:id="0">
    <w:p w:rsidR="000E4377" w:rsidRDefault="000E4377" w:rsidP="00E20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377" w:rsidRDefault="000E4377" w:rsidP="00E20B90">
      <w:pPr>
        <w:spacing w:after="0" w:line="240" w:lineRule="auto"/>
      </w:pPr>
      <w:r>
        <w:separator/>
      </w:r>
    </w:p>
  </w:footnote>
  <w:footnote w:type="continuationSeparator" w:id="0">
    <w:p w:rsidR="000E4377" w:rsidRDefault="000E4377" w:rsidP="00E20B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A77ED6"/>
    <w:multiLevelType w:val="hybridMultilevel"/>
    <w:tmpl w:val="E61A0D2E"/>
    <w:lvl w:ilvl="0" w:tplc="04B6F1C2">
      <w:start w:val="1"/>
      <w:numFmt w:val="decimal"/>
      <w:lvlText w:val="%1."/>
      <w:lvlJc w:val="left"/>
      <w:pPr>
        <w:ind w:left="644" w:hanging="360"/>
      </w:pPr>
      <w:rPr>
        <w:rFonts w:cs="Times New Roman"/>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Puk">
    <w15:presenceInfo w15:providerId="AD" w15:userId="S-1-5-21-2300442269-1057735131-3559757563-1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B3C"/>
    <w:rsid w:val="00037DE1"/>
    <w:rsid w:val="00064FA1"/>
    <w:rsid w:val="00066861"/>
    <w:rsid w:val="00075510"/>
    <w:rsid w:val="000B065E"/>
    <w:rsid w:val="000C5A39"/>
    <w:rsid w:val="000D3EAB"/>
    <w:rsid w:val="000E4377"/>
    <w:rsid w:val="00104658"/>
    <w:rsid w:val="001676D1"/>
    <w:rsid w:val="001B5774"/>
    <w:rsid w:val="001B7322"/>
    <w:rsid w:val="001C7A2C"/>
    <w:rsid w:val="001E7E6C"/>
    <w:rsid w:val="002564B8"/>
    <w:rsid w:val="00256F9C"/>
    <w:rsid w:val="002621A9"/>
    <w:rsid w:val="00267DF6"/>
    <w:rsid w:val="0027574A"/>
    <w:rsid w:val="00277DF5"/>
    <w:rsid w:val="002B1E50"/>
    <w:rsid w:val="002E0E17"/>
    <w:rsid w:val="002E4180"/>
    <w:rsid w:val="002F095F"/>
    <w:rsid w:val="003057D5"/>
    <w:rsid w:val="00307983"/>
    <w:rsid w:val="00316B3C"/>
    <w:rsid w:val="00342A34"/>
    <w:rsid w:val="00356B3B"/>
    <w:rsid w:val="00361FF3"/>
    <w:rsid w:val="003758C9"/>
    <w:rsid w:val="003C19EE"/>
    <w:rsid w:val="0041660A"/>
    <w:rsid w:val="004300B8"/>
    <w:rsid w:val="004332F5"/>
    <w:rsid w:val="0045575A"/>
    <w:rsid w:val="004723FD"/>
    <w:rsid w:val="00484A6A"/>
    <w:rsid w:val="004C4057"/>
    <w:rsid w:val="0050188F"/>
    <w:rsid w:val="00552693"/>
    <w:rsid w:val="0066272E"/>
    <w:rsid w:val="00662C07"/>
    <w:rsid w:val="00667EE6"/>
    <w:rsid w:val="006967EE"/>
    <w:rsid w:val="006D1549"/>
    <w:rsid w:val="006F1B2F"/>
    <w:rsid w:val="00702215"/>
    <w:rsid w:val="0073208A"/>
    <w:rsid w:val="007502B7"/>
    <w:rsid w:val="007D61A4"/>
    <w:rsid w:val="0082153F"/>
    <w:rsid w:val="00827A04"/>
    <w:rsid w:val="00864E8F"/>
    <w:rsid w:val="00876FD9"/>
    <w:rsid w:val="009071EF"/>
    <w:rsid w:val="00907706"/>
    <w:rsid w:val="00937BE3"/>
    <w:rsid w:val="009727BC"/>
    <w:rsid w:val="00980653"/>
    <w:rsid w:val="0098348E"/>
    <w:rsid w:val="009930A6"/>
    <w:rsid w:val="009B3A5B"/>
    <w:rsid w:val="009D50AA"/>
    <w:rsid w:val="009F6AB0"/>
    <w:rsid w:val="00A0117E"/>
    <w:rsid w:val="00A3282D"/>
    <w:rsid w:val="00A35F57"/>
    <w:rsid w:val="00A74154"/>
    <w:rsid w:val="00AA19BF"/>
    <w:rsid w:val="00AB06EF"/>
    <w:rsid w:val="00AD4AC4"/>
    <w:rsid w:val="00AE6943"/>
    <w:rsid w:val="00AF11E3"/>
    <w:rsid w:val="00AF7B1C"/>
    <w:rsid w:val="00B32C5D"/>
    <w:rsid w:val="00B4526A"/>
    <w:rsid w:val="00B86861"/>
    <w:rsid w:val="00B9612C"/>
    <w:rsid w:val="00BD18E0"/>
    <w:rsid w:val="00BF13EE"/>
    <w:rsid w:val="00C04198"/>
    <w:rsid w:val="00C17D11"/>
    <w:rsid w:val="00C232A3"/>
    <w:rsid w:val="00C35F17"/>
    <w:rsid w:val="00C75549"/>
    <w:rsid w:val="00CC480F"/>
    <w:rsid w:val="00CE42F9"/>
    <w:rsid w:val="00D57DA3"/>
    <w:rsid w:val="00D77333"/>
    <w:rsid w:val="00D90779"/>
    <w:rsid w:val="00DA6D8B"/>
    <w:rsid w:val="00DE3375"/>
    <w:rsid w:val="00E20B90"/>
    <w:rsid w:val="00E43631"/>
    <w:rsid w:val="00E64221"/>
    <w:rsid w:val="00E91DB5"/>
    <w:rsid w:val="00EB75DD"/>
    <w:rsid w:val="00ED4B8A"/>
    <w:rsid w:val="00F37810"/>
    <w:rsid w:val="00F56DBA"/>
    <w:rsid w:val="00F6126D"/>
    <w:rsid w:val="00F85529"/>
    <w:rsid w:val="00F919AA"/>
    <w:rsid w:val="00FA122C"/>
    <w:rsid w:val="00FB3CC1"/>
    <w:rsid w:val="00FE4E3E"/>
    <w:rsid w:val="00FF417C"/>
    <w:rsid w:val="00FF43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758C9"/>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F56DBA"/>
    <w:rPr>
      <w:color w:val="0563C1" w:themeColor="hyperlink"/>
      <w:u w:val="single"/>
    </w:rPr>
  </w:style>
  <w:style w:type="paragraph" w:customStyle="1" w:styleId="Standard">
    <w:name w:val="Standard"/>
    <w:rsid w:val="00F56DB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dymka">
    <w:name w:val="Balloon Text"/>
    <w:basedOn w:val="Normalny"/>
    <w:link w:val="TekstdymkaZnak"/>
    <w:uiPriority w:val="99"/>
    <w:semiHidden/>
    <w:unhideWhenUsed/>
    <w:rsid w:val="00AA19B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19BF"/>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E20B9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20B90"/>
    <w:rPr>
      <w:sz w:val="20"/>
      <w:szCs w:val="20"/>
    </w:rPr>
  </w:style>
  <w:style w:type="character" w:styleId="Odwoanieprzypisukocowego">
    <w:name w:val="endnote reference"/>
    <w:basedOn w:val="Domylnaczcionkaakapitu"/>
    <w:uiPriority w:val="99"/>
    <w:semiHidden/>
    <w:unhideWhenUsed/>
    <w:rsid w:val="00E20B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758C9"/>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F56DBA"/>
    <w:rPr>
      <w:color w:val="0563C1" w:themeColor="hyperlink"/>
      <w:u w:val="single"/>
    </w:rPr>
  </w:style>
  <w:style w:type="paragraph" w:customStyle="1" w:styleId="Standard">
    <w:name w:val="Standard"/>
    <w:rsid w:val="00F56DB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dymka">
    <w:name w:val="Balloon Text"/>
    <w:basedOn w:val="Normalny"/>
    <w:link w:val="TekstdymkaZnak"/>
    <w:uiPriority w:val="99"/>
    <w:semiHidden/>
    <w:unhideWhenUsed/>
    <w:rsid w:val="00AA19B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19BF"/>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E20B9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20B90"/>
    <w:rPr>
      <w:sz w:val="20"/>
      <w:szCs w:val="20"/>
    </w:rPr>
  </w:style>
  <w:style w:type="character" w:styleId="Odwoanieprzypisukocowego">
    <w:name w:val="endnote reference"/>
    <w:basedOn w:val="Domylnaczcionkaakapitu"/>
    <w:uiPriority w:val="99"/>
    <w:semiHidden/>
    <w:unhideWhenUsed/>
    <w:rsid w:val="00E20B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092108">
      <w:bodyDiv w:val="1"/>
      <w:marLeft w:val="0"/>
      <w:marRight w:val="0"/>
      <w:marTop w:val="0"/>
      <w:marBottom w:val="0"/>
      <w:divBdr>
        <w:top w:val="none" w:sz="0" w:space="0" w:color="auto"/>
        <w:left w:val="none" w:sz="0" w:space="0" w:color="auto"/>
        <w:bottom w:val="none" w:sz="0" w:space="0" w:color="auto"/>
        <w:right w:val="none" w:sz="0" w:space="0" w:color="auto"/>
      </w:divBdr>
    </w:div>
    <w:div w:id="199348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E97E0-47EA-4842-A1FB-AE23AD4AF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942</Words>
  <Characters>5652</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Maciej Sulmicki</cp:lastModifiedBy>
  <cp:revision>3</cp:revision>
  <cp:lastPrinted>2018-12-03T14:05:00Z</cp:lastPrinted>
  <dcterms:created xsi:type="dcterms:W3CDTF">2018-12-13T12:11:00Z</dcterms:created>
  <dcterms:modified xsi:type="dcterms:W3CDTF">2018-12-13T12:26:00Z</dcterms:modified>
</cp:coreProperties>
</file>